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13"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ans-serif" w:hAnsi="Times New Roman;sans-serif"/>
          <w:b/>
          <w:color w:val="000000"/>
          <w:sz w:val="25"/>
        </w:rPr>
      </w:pPr>
      <w:r>
        <w:rPr>
          <w:rFonts w:ascii="Times New Roman;sans-serif" w:hAnsi="Times New Roman;sans-serif"/>
          <w:b/>
          <w:color w:val="000000"/>
          <w:sz w:val="25"/>
        </w:rPr>
        <w:t>UNITED STATES</w:t>
      </w:r>
    </w:p>
    <w:p>
      <w:pPr>
        <w:pStyle w:val="TextBody"/>
        <w:bidi w:val="0"/>
        <w:spacing w:lineRule="auto" w:line="288" w:before="0" w:after="0"/>
        <w:jc w:val="center"/>
        <w:rPr>
          <w:rFonts w:ascii="Times New Roman;sans-serif" w:hAnsi="Times New Roman;sans-serif"/>
          <w:b/>
          <w:color w:val="000000"/>
          <w:sz w:val="25"/>
        </w:rPr>
      </w:pPr>
      <w:r>
        <w:rPr>
          <w:rFonts w:ascii="Times New Roman;sans-serif" w:hAnsi="Times New Roman;sans-serif"/>
          <w:b/>
          <w:color w:val="000000"/>
          <w:sz w:val="25"/>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13 OR 15(d)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Date of report (Date of earliest event reported): February 15,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ans-serif" w:hAnsi="Times New Roman;sans-serif"/>
          <w:b/>
          <w:color w:val="000000"/>
          <w:sz w:val="36"/>
        </w:rPr>
      </w:pPr>
      <w:r>
        <w:rPr>
          <w:rFonts w:ascii="Times New Roman;sans-serif" w:hAnsi="Times New Roman;sans-serif"/>
          <w:b/>
          <w:color w:val="000000"/>
          <w:sz w:val="36"/>
        </w:rPr>
        <w:t>SONDER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29" w:type="dxa"/>
        <w:jc w:val="center"/>
        <w:tblInd w:w="0" w:type="dxa"/>
        <w:tblLayout w:type="fixed"/>
        <w:tblCellMar>
          <w:top w:w="28" w:type="dxa"/>
          <w:left w:w="28" w:type="dxa"/>
          <w:bottom w:w="28" w:type="dxa"/>
          <w:right w:w="28" w:type="dxa"/>
        </w:tblCellMar>
      </w:tblPr>
      <w:tblGrid>
        <w:gridCol w:w="513"/>
        <w:gridCol w:w="448"/>
        <w:gridCol w:w="448"/>
        <w:gridCol w:w="416"/>
        <w:gridCol w:w="416"/>
        <w:gridCol w:w="440"/>
        <w:gridCol w:w="334"/>
        <w:gridCol w:w="334"/>
        <w:gridCol w:w="336"/>
        <w:gridCol w:w="363"/>
        <w:gridCol w:w="363"/>
        <w:gridCol w:w="518"/>
      </w:tblGrid>
      <w:tr>
        <w:trPr/>
        <w:tc>
          <w:tcPr>
            <w:tcW w:w="5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001-39907</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85-2097088</w:t>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of incorporation)</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(Commission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File Number)</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447 Sutter St., Suite 405 #542</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San Francisco, </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90" w:after="283"/>
        <w:jc w:val="center"/>
        <w:rPr>
          <w:rFonts w:ascii="Times New Roman;sans-serif" w:hAnsi="Times New Roman;sans-serif"/>
          <w:b/>
          <w:color w:val="000000"/>
          <w:sz w:val="18"/>
        </w:rPr>
      </w:pPr>
      <w:r>
        <w:rPr>
          <w:rFonts w:ascii="Times New Roman;sans-serif" w:hAnsi="Times New Roman;sans-serif"/>
          <w:b/>
          <w:color w:val="000000"/>
          <w:sz w:val="18"/>
        </w:rPr>
        <w:t>(617) 300-0956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val="false"/>
          <w:color w:val="000000"/>
          <w:sz w:val="18"/>
        </w:rPr>
        <w:t>Former name or former address, if changed since last report)</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 pursuant to Rule 425 under the Securities Act (17 CFR 230.425)</w:t>
            </w:r>
          </w:p>
        </w:tc>
      </w:tr>
    </w:tbl>
    <w:tbl>
      <w:tblPr>
        <w:tblW w:w="6912" w:type="dxa"/>
        <w:jc w:val="left"/>
        <w:tblInd w:w="0" w:type="dxa"/>
        <w:tblLayout w:type="fixed"/>
        <w:tblCellMar>
          <w:top w:w="28" w:type="dxa"/>
          <w:left w:w="28" w:type="dxa"/>
          <w:bottom w:w="28" w:type="dxa"/>
          <w:right w:w="28" w:type="dxa"/>
        </w:tblCellMar>
      </w:tblPr>
      <w:tblGrid>
        <w:gridCol w:w="124"/>
        <w:gridCol w:w="109"/>
        <w:gridCol w:w="109"/>
        <w:gridCol w:w="1922"/>
        <w:gridCol w:w="1922"/>
        <w:gridCol w:w="2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531" w:type="dxa"/>
        <w:jc w:val="left"/>
        <w:tblInd w:w="0" w:type="dxa"/>
        <w:tblLayout w:type="fixed"/>
        <w:tblCellMar>
          <w:top w:w="28" w:type="dxa"/>
          <w:left w:w="28" w:type="dxa"/>
          <w:bottom w:w="28" w:type="dxa"/>
          <w:right w:w="28" w:type="dxa"/>
        </w:tblCellMar>
      </w:tblPr>
      <w:tblGrid>
        <w:gridCol w:w="124"/>
        <w:gridCol w:w="109"/>
        <w:gridCol w:w="109"/>
        <w:gridCol w:w="2395"/>
        <w:gridCol w:w="2395"/>
        <w:gridCol w:w="3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472" w:type="dxa"/>
        <w:jc w:val="left"/>
        <w:tblInd w:w="0" w:type="dxa"/>
        <w:tblLayout w:type="fixed"/>
        <w:tblCellMar>
          <w:top w:w="28" w:type="dxa"/>
          <w:left w:w="28" w:type="dxa"/>
          <w:bottom w:w="28" w:type="dxa"/>
          <w:right w:w="28" w:type="dxa"/>
        </w:tblCellMar>
      </w:tblPr>
      <w:tblGrid>
        <w:gridCol w:w="124"/>
        <w:gridCol w:w="109"/>
        <w:gridCol w:w="109"/>
        <w:gridCol w:w="2378"/>
        <w:gridCol w:w="2378"/>
        <w:gridCol w:w="3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78"/>
        <w:gridCol w:w="2102"/>
        <w:gridCol w:w="109"/>
        <w:gridCol w:w="109"/>
        <w:gridCol w:w="109"/>
        <w:gridCol w:w="275"/>
        <w:gridCol w:w="275"/>
        <w:gridCol w:w="276"/>
        <w:gridCol w:w="109"/>
        <w:gridCol w:w="109"/>
        <w:gridCol w:w="109"/>
        <w:gridCol w:w="614"/>
        <w:gridCol w:w="614"/>
        <w:gridCol w:w="875"/>
      </w:tblGrid>
      <w:tr>
        <w:trPr/>
        <w:tc>
          <w:tcPr>
            <w:tcW w:w="244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 which registered</w:t>
            </w:r>
          </w:p>
        </w:tc>
      </w:tr>
      <w:tr>
        <w:trPr/>
        <w:tc>
          <w:tcPr>
            <w:tcW w:w="66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6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Warrants, each 20 warrants exercisable for one share of Common Stock at an exercise price of $230.00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SONDW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2.05     Costs Associated with Exit or Disposal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2024, Sonder Holdings Inc. (the “Company”) announced a reduction in force affecting approximately 106 corporate roles, or 17% of the corporate workforce, which is estimated to lead to approximately $11 million in annualized cost savings. Affected employees were informed of the reduction in force on or about this date. The Company expects the reduction in force to be substantially complete by the end of the first quarter of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cash expenditures for the reduction in force are estimated at $2 million to $3 million, substantially all of which are related to employee severance and benefits costs and will be recognized in the first quarter of 2024. The Company expects to pay the majority of these reduction in force amounts in the first quarter of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statements that constitute forward-looking statements within the meaning of the Private Securities Litigation Reform Act of 1995 and other securities laws, which are identified by words such as “plans,” “expects,” “may,” “believes,” “estimates”, “intends,” and negatives or derivatives of these or similar expressions. These forward-looking statements are based upon the Company’s present intent, beliefs or expectations, but forward-looking statements are not guaranteed to occur and may not occur. Actual results may differ materially from those contained in or implied by the Company’s forward-looking statements as a result of various factors. For example, this Current Report on Form 8-K includes statements regarding the timing and scope of the reduction in force and the amount and timing of the related charges. Many factors could affect the actual results of the reduction in force, including estimates of employee headcount reductions, cash expenditures that may be made by the Company in connection with the reduction in force and the number of outstanding unvested equity awards that will be canceled as a result of the reduction in force. The information contained in the Company’s periodic reports filed with the Securities and Exchange Commission, or SEC, including under “Risk Factors,” or incorporated therein, also identifies important factors that could cause the Company’s actual results to differ materially from those stated in or implied by the Company’s forward-looking statements. The Company’s filings with the SEC are available on the SEC’s website at www.sec.gov. You should not place undue reliance upon any forward-looking statements. Except as required by law, the Company does not intend to update or change any forward-looking statements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02" w:type="dxa"/>
        <w:jc w:val="left"/>
        <w:tblInd w:w="0" w:type="dxa"/>
        <w:tblLayout w:type="fixed"/>
        <w:tblCellMar>
          <w:top w:w="28" w:type="dxa"/>
          <w:left w:w="28" w:type="dxa"/>
          <w:bottom w:w="28" w:type="dxa"/>
          <w:right w:w="28" w:type="dxa"/>
        </w:tblCellMar>
      </w:tblPr>
      <w:tblGrid>
        <w:gridCol w:w="754"/>
        <w:gridCol w:w="664"/>
        <w:gridCol w:w="667"/>
        <w:gridCol w:w="289"/>
        <w:gridCol w:w="289"/>
        <w:gridCol w:w="289"/>
        <w:gridCol w:w="917"/>
        <w:gridCol w:w="917"/>
        <w:gridCol w:w="131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Sonder Holdings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4396</Characters>
  <CharactersWithSpaces>5137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